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ČESTNÉ PROHLÁŠENÍ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veřejné zakázky: </w:t>
      </w:r>
      <w:r w:rsidDel="00000000" w:rsidR="00000000" w:rsidRPr="00000000">
        <w:rPr>
          <w:rFonts w:ascii="Arial" w:cs="Arial" w:eastAsia="Arial" w:hAnsi="Arial"/>
          <w:b w:val="1"/>
          <w:sz w:val="22"/>
          <w:szCs w:val="22"/>
          <w:rtl w:val="0"/>
        </w:rPr>
        <w:t xml:space="preserve">Zahradnické potřeby pro Lesy hl. m. Prahy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Dodavatel …………………………..,……………………………………………………………….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sídlem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IČ: …………., čestně prohlašuje, že: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splňuje základní způsobilost, neboť:</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680" w:right="0" w:hanging="396"/>
        <w:jc w:val="both"/>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nebyl v zemi svého sídla v posledních 5 letech před zahájením zadávacího řízení pravomocně odsouzen pro trestný čin uvedený v příloze č. 3 zákona č. 134/2016 Sb., </w:t>
        <w:br w:type="textWrapping"/>
        <w:t xml:space="preserve">o zadávání veřejných zakázek, nebo obdobný trestný čin podle právního řádu země sídla dodavatele k zahlazeným odsouzením se nepřihlíží,</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680" w:right="0" w:hanging="396"/>
        <w:jc w:val="both"/>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nemá v České republice nebo v zemi svého sídla v evidenci daní zachycen splatný daňový nedoplatek, a to i ve vztahu ke spotřební dani</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680" w:right="0" w:hanging="396"/>
        <w:jc w:val="both"/>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nemá v České republice nebo v zemi svého sídla splatný nedoplatek na pojistném nebo na penále na veřejné zdravotní pojištění,</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680" w:right="0" w:hanging="396"/>
        <w:jc w:val="both"/>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nemá v České republice nebo v zemi svého sídla splatný nedoplatek na pojistném nebo na penále na sociální zabezpečení a příspěvku na státní politiku zaměstnanosti,</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680" w:right="0" w:hanging="396"/>
        <w:jc w:val="both"/>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není v likvidaci</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nebylo proti němu vydáno rozhodnutí o úpadku</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nebyla vůči němu nařízena nucená správa podle jiného právního předpisu</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nebo není v obdobné situaci podle právního řádu země sídla dodavatele.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Pozn.: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1je-li dodavatelem právnická osoba, splňuje tuto podmínku jak tato právnická osoba, tak její statutární orgán nebo každý člen statutárního orgánu, a je-li statutárním orgánem dodavatele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ust. § 187 občanského zákoníku, ve znění pozdějších předpisů;</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ust. § 136 zákona č. 182/2006 Sb., o úpadku a způsobech jeho řešení (insolvenční zákon), ve znění pozdějších předpisů;</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například zákon č. 21/1992 Sb., o bankách, ve znění pozdějších předpisů, zákon č. 87/1995 Sb., </w:t>
        <w:br w:type="textWrapping"/>
        <w:t xml:space="preserve">o spořitelních a úvěrních družstvech a některých opatřeních s tím souvisejících  a o doplnění zákona České národní rady č. 586/1992 Sb., o daních z příjmů, ve znění pozdějších předpisů, zákon č. 363/1999 Sb., </w:t>
        <w:br w:type="textWrapping"/>
        <w:t xml:space="preserve">o pojišťovnictví a o změně některých souvisejících zákonů.</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dále splňuje profesní způsobilost, neboť:</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výzvu může předložit výpis z obchodního rejstříku nebo jiné obdobné evidence, pokud jiný právní předpis zápis do takové evidence vyžaduje,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  Dne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Podpis osoby oprávněné jednat jménem dodavatele: ……………………………………….</w:t>
      </w:r>
    </w:p>
    <w:sectPr>
      <w:headerReference r:id="rId6" w:type="default"/>
      <w:footerReference r:id="rId7" w:type="default"/>
      <w:pgSz w:h="16838" w:w="11906"/>
      <w:pgMar w:bottom="426" w:top="1134" w:left="1644" w:right="1644" w:header="1021" w:footer="19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left" w:pos="54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279400</wp:posOffset>
              </wp:positionV>
              <wp:extent cx="4996815" cy="238125"/>
              <wp:effectExtent b="0" l="0" r="0" t="0"/>
              <wp:wrapNone/>
              <wp:docPr id="1" name=""/>
              <a:graphic>
                <a:graphicData uri="http://schemas.microsoft.com/office/word/2010/wordprocessingShape">
                  <wps:wsp>
                    <wps:cNvSpPr/>
                    <wps:cNvPr id="2" name="Shape 2"/>
                    <wps:spPr>
                      <a:xfrm>
                        <a:off x="2852355" y="3665700"/>
                        <a:ext cx="498729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279400</wp:posOffset>
              </wp:positionV>
              <wp:extent cx="4996815" cy="2381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96815"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abstractNum w:abstractNumId="2">
    <w:lvl w:ilvl="0">
      <w:start w:val="1"/>
      <w:numFmt w:val="lowerLetter"/>
      <w:lvlText w:val="%1)"/>
      <w:lvlJc w:val="left"/>
      <w:pPr>
        <w:ind w:left="680" w:hanging="396"/>
      </w:pPr>
      <w:rPr>
        <w:b w:val="0"/>
        <w:i w:val="0"/>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